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5525" w14:textId="12A47139" w:rsidR="00D242EB" w:rsidRDefault="004F7354" w:rsidP="00D242EB">
      <w:pPr>
        <w:jc w:val="center"/>
        <w:rPr>
          <w:rFonts w:cs="Arial"/>
          <w:b/>
          <w:sz w:val="32"/>
        </w:rPr>
      </w:pPr>
      <w:r>
        <w:rPr>
          <w:rFonts w:cs="Arial"/>
          <w:b/>
          <w:sz w:val="32"/>
        </w:rPr>
        <w:t>MASTER OF TEACHING</w:t>
      </w:r>
      <w:r w:rsidR="00D242EB">
        <w:rPr>
          <w:rFonts w:cs="Arial"/>
          <w:b/>
          <w:sz w:val="32"/>
        </w:rPr>
        <w:t xml:space="preserve"> (Secondary) PPA</w:t>
      </w:r>
      <w:r>
        <w:rPr>
          <w:rFonts w:cs="Arial"/>
          <w:b/>
          <w:sz w:val="32"/>
        </w:rPr>
        <w:t>6460</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636E2A91" w:rsidR="00D242EB" w:rsidRPr="00115FEA" w:rsidRDefault="00D242EB" w:rsidP="00D242EB">
      <w:pPr>
        <w:rPr>
          <w:rFonts w:cs="Arial"/>
          <w:lang w:val="en"/>
        </w:rPr>
      </w:pPr>
      <w:r w:rsidRPr="00115FEA">
        <w:rPr>
          <w:rFonts w:cs="Arial"/>
          <w:lang w:val="en"/>
        </w:rPr>
        <w:t xml:space="preserve">Mentor Teachers play a crucial role in guiding and supporting our </w:t>
      </w:r>
      <w:r w:rsidR="004F7354">
        <w:rPr>
          <w:rFonts w:cs="Arial"/>
          <w:lang w:val="en"/>
        </w:rPr>
        <w:t>Pre-service</w:t>
      </w:r>
      <w:r w:rsidRPr="00115FEA">
        <w:rPr>
          <w:rFonts w:cs="Arial"/>
          <w:lang w:val="en"/>
        </w:rPr>
        <w:t xml:space="preserve">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2B5EF53C"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guide </w:t>
      </w:r>
      <w:r w:rsidR="004F7354">
        <w:rPr>
          <w:rFonts w:cs="Arial"/>
          <w:sz w:val="22"/>
          <w:szCs w:val="22"/>
          <w:lang w:val="en"/>
        </w:rPr>
        <w:t>Pre-service</w:t>
      </w:r>
      <w:r w:rsidRPr="00D242EB">
        <w:rPr>
          <w:rFonts w:cs="Arial"/>
          <w:sz w:val="22"/>
          <w:szCs w:val="22"/>
          <w:lang w:val="en"/>
        </w:rPr>
        <w:t xml:space="preserve"> Teachers in establishing and maintaining professional relationships</w:t>
      </w:r>
    </w:p>
    <w:p w14:paraId="03824A66" w14:textId="655E6548"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create opportunities for </w:t>
      </w:r>
      <w:r w:rsidR="004F7354">
        <w:rPr>
          <w:rFonts w:cs="Arial"/>
          <w:sz w:val="22"/>
          <w:szCs w:val="22"/>
          <w:lang w:val="en"/>
        </w:rPr>
        <w:t>Pre-service</w:t>
      </w:r>
      <w:r w:rsidRPr="00D242EB">
        <w:rPr>
          <w:rFonts w:cs="Arial"/>
          <w:sz w:val="22"/>
          <w:szCs w:val="22"/>
          <w:lang w:val="en"/>
        </w:rPr>
        <w:t xml:space="preserve">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1ED62FF4"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monitor </w:t>
      </w:r>
      <w:r w:rsidR="004F7354">
        <w:rPr>
          <w:rFonts w:cs="Arial"/>
          <w:sz w:val="22"/>
          <w:szCs w:val="22"/>
          <w:lang w:val="en"/>
        </w:rPr>
        <w:t>Pre-service</w:t>
      </w:r>
      <w:r w:rsidRPr="00D242EB">
        <w:rPr>
          <w:rFonts w:cs="Arial"/>
          <w:sz w:val="22"/>
          <w:szCs w:val="22"/>
          <w:lang w:val="en"/>
        </w:rPr>
        <w:t xml:space="preserve"> Teachers’ progress against the criteria for assessme</w:t>
      </w:r>
      <w:r w:rsidR="009B039A">
        <w:rPr>
          <w:rFonts w:cs="Arial"/>
          <w:sz w:val="22"/>
          <w:szCs w:val="22"/>
          <w:lang w:val="en"/>
        </w:rPr>
        <w:t xml:space="preserve">nt for the </w:t>
      </w:r>
      <w:r w:rsidR="009D70C3">
        <w:rPr>
          <w:rFonts w:cs="Arial"/>
          <w:sz w:val="22"/>
          <w:szCs w:val="22"/>
          <w:lang w:val="en"/>
        </w:rPr>
        <w:t>P</w:t>
      </w:r>
      <w:r w:rsidR="009B039A">
        <w:rPr>
          <w:rFonts w:cs="Arial"/>
          <w:sz w:val="22"/>
          <w:szCs w:val="22"/>
          <w:lang w:val="en"/>
        </w:rPr>
        <w:t xml:space="preserve">rofessional </w:t>
      </w:r>
      <w:r w:rsidR="009D70C3">
        <w:rPr>
          <w:rFonts w:cs="Arial"/>
          <w:sz w:val="22"/>
          <w:szCs w:val="22"/>
          <w:lang w:val="en"/>
        </w:rPr>
        <w:t>E</w:t>
      </w:r>
      <w:r w:rsidR="009B039A">
        <w:rPr>
          <w:rFonts w:cs="Arial"/>
          <w:sz w:val="22"/>
          <w:szCs w:val="22"/>
          <w:lang w:val="en"/>
        </w:rPr>
        <w:t>xperience</w:t>
      </w:r>
    </w:p>
    <w:p w14:paraId="4D02658E" w14:textId="77777777" w:rsidR="00D242EB" w:rsidRPr="00D242EB" w:rsidRDefault="00D242EB" w:rsidP="00D242EB">
      <w:pPr>
        <w:rPr>
          <w:rFonts w:cs="Arial"/>
          <w:kern w:val="24"/>
          <w:szCs w:val="22"/>
        </w:rPr>
      </w:pPr>
    </w:p>
    <w:p w14:paraId="1D659693" w14:textId="08563B44" w:rsidR="00D242EB" w:rsidRPr="009B039A" w:rsidRDefault="00D242EB" w:rsidP="009B039A">
      <w:pPr>
        <w:pStyle w:val="ListParagraph"/>
        <w:ind w:left="0"/>
        <w:rPr>
          <w:rFonts w:cs="Arial"/>
          <w:sz w:val="22"/>
          <w:szCs w:val="22"/>
          <w:lang w:val="en"/>
        </w:rPr>
      </w:pPr>
      <w:r w:rsidRPr="00D242EB">
        <w:rPr>
          <w:rFonts w:cs="Arial"/>
          <w:sz w:val="22"/>
          <w:szCs w:val="22"/>
          <w:lang w:val="en"/>
        </w:rPr>
        <w:t xml:space="preserve">Our goal is to encourage </w:t>
      </w:r>
      <w:r w:rsidR="004F7354">
        <w:rPr>
          <w:rFonts w:cs="Arial"/>
          <w:sz w:val="22"/>
          <w:szCs w:val="22"/>
          <w:lang w:val="en"/>
        </w:rPr>
        <w:t>Pre-service</w:t>
      </w:r>
      <w:r w:rsidRPr="00D242EB">
        <w:rPr>
          <w:rFonts w:cs="Arial"/>
          <w:sz w:val="22"/>
          <w:szCs w:val="22"/>
          <w:lang w:val="en"/>
        </w:rPr>
        <w:t xml:space="preserve">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 xml:space="preserve">University Supervisors work with Mentor Teachers and </w:t>
      </w:r>
      <w:r w:rsidR="004F7354">
        <w:rPr>
          <w:rFonts w:cs="Arial"/>
          <w:sz w:val="22"/>
          <w:szCs w:val="22"/>
          <w:lang w:val="en"/>
        </w:rPr>
        <w:t>Pre-service</w:t>
      </w:r>
      <w:r w:rsidRPr="009B039A">
        <w:rPr>
          <w:rFonts w:cs="Arial"/>
          <w:sz w:val="22"/>
          <w:szCs w:val="22"/>
          <w:lang w:val="en"/>
        </w:rPr>
        <w:t xml:space="preserve">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44B3CC24"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w:t>
      </w:r>
      <w:r w:rsidR="00612DDC">
        <w:rPr>
          <w:rFonts w:eastAsiaTheme="minorEastAsia" w:cs="Arial"/>
          <w:kern w:val="24"/>
        </w:rPr>
        <w:t>P</w:t>
      </w:r>
      <w:r w:rsidRPr="00115FEA">
        <w:rPr>
          <w:rFonts w:eastAsiaTheme="minorEastAsia" w:cs="Arial"/>
          <w:kern w:val="24"/>
        </w:rPr>
        <w:t>r</w:t>
      </w:r>
      <w:r w:rsidR="004F7354">
        <w:rPr>
          <w:rFonts w:eastAsiaTheme="minorEastAsia" w:cs="Arial"/>
          <w:kern w:val="24"/>
        </w:rPr>
        <w:t xml:space="preserve">ofessional </w:t>
      </w:r>
      <w:r w:rsidR="00612DDC">
        <w:rPr>
          <w:rFonts w:eastAsiaTheme="minorEastAsia" w:cs="Arial"/>
          <w:kern w:val="24"/>
        </w:rPr>
        <w:t>E</w:t>
      </w:r>
      <w:r w:rsidR="004F7354">
        <w:rPr>
          <w:rFonts w:eastAsiaTheme="minorEastAsia" w:cs="Arial"/>
          <w:kern w:val="24"/>
        </w:rPr>
        <w:t>xperience</w:t>
      </w:r>
      <w:r w:rsidRPr="00115FEA">
        <w:rPr>
          <w:rFonts w:eastAsiaTheme="minorEastAsia" w:cs="Arial"/>
          <w:kern w:val="24"/>
        </w:rPr>
        <w:t xml:space="preserve">.  It addresses some of the elements of the </w:t>
      </w:r>
      <w:r w:rsidR="00612DDC">
        <w:rPr>
          <w:rFonts w:eastAsiaTheme="minorEastAsia" w:cs="Arial"/>
          <w:kern w:val="24"/>
        </w:rPr>
        <w:t>P</w:t>
      </w:r>
      <w:r w:rsidRPr="00115FEA">
        <w:rPr>
          <w:rFonts w:eastAsiaTheme="minorEastAsia" w:cs="Arial"/>
          <w:kern w:val="24"/>
        </w:rPr>
        <w:t>r</w:t>
      </w:r>
      <w:r w:rsidR="008A7A46">
        <w:rPr>
          <w:rFonts w:eastAsiaTheme="minorEastAsia" w:cs="Arial"/>
          <w:kern w:val="24"/>
        </w:rPr>
        <w:t xml:space="preserve">ofessional </w:t>
      </w:r>
      <w:r w:rsidR="00612DDC">
        <w:rPr>
          <w:rFonts w:eastAsiaTheme="minorEastAsia" w:cs="Arial"/>
          <w:kern w:val="24"/>
        </w:rPr>
        <w:t>E</w:t>
      </w:r>
      <w:r w:rsidR="008A7A46">
        <w:rPr>
          <w:rFonts w:eastAsiaTheme="minorEastAsia" w:cs="Arial"/>
          <w:kern w:val="24"/>
        </w:rPr>
        <w:t>xperience</w:t>
      </w:r>
      <w:r w:rsidRPr="00115FEA">
        <w:rPr>
          <w:rFonts w:eastAsiaTheme="minorEastAsia" w:cs="Arial"/>
          <w:kern w:val="24"/>
        </w:rPr>
        <w:t xml:space="preserve"> that may not be evident when the University Supervisor makes scheduled visits.  The criteria are drawn from the Final Evaluation Form and focus on the </w:t>
      </w:r>
      <w:r w:rsidR="008A7A46">
        <w:rPr>
          <w:rFonts w:eastAsiaTheme="minorEastAsia" w:cs="Arial"/>
          <w:kern w:val="24"/>
        </w:rPr>
        <w:t>Pre-service</w:t>
      </w:r>
      <w:r w:rsidRPr="00115FEA">
        <w:rPr>
          <w:rFonts w:cs="Arial"/>
          <w:lang w:val="en"/>
        </w:rPr>
        <w:t xml:space="preserve">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1B62F805" w:rsidR="00D242EB" w:rsidRPr="00115FEA" w:rsidRDefault="00D242EB" w:rsidP="00D242EB">
      <w:pPr>
        <w:rPr>
          <w:rFonts w:cs="Arial"/>
          <w:lang w:val="en"/>
        </w:rPr>
      </w:pPr>
      <w:r w:rsidRPr="00115FEA">
        <w:rPr>
          <w:rFonts w:eastAsiaTheme="minorEastAsia" w:cs="Arial"/>
          <w:kern w:val="24"/>
        </w:rPr>
        <w:t xml:space="preserve">Please complete and sign this checklist for the University Supervisor on their first visit, and thereafter as required. This document provides the opportunity for Mentor Teachers to reflect on the progress of the </w:t>
      </w:r>
      <w:r w:rsidR="004D17ED">
        <w:rPr>
          <w:rFonts w:eastAsiaTheme="minorEastAsia" w:cs="Arial"/>
          <w:kern w:val="24"/>
        </w:rPr>
        <w:t>Pre-service</w:t>
      </w:r>
      <w:r w:rsidRPr="00115FEA">
        <w:rPr>
          <w:rFonts w:cs="Arial"/>
          <w:lang w:val="en"/>
        </w:rPr>
        <w:t xml:space="preserve">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004D17ED">
        <w:rPr>
          <w:rFonts w:cs="Arial"/>
        </w:rPr>
        <w:t>Pre-service</w:t>
      </w:r>
      <w:r w:rsidRPr="00115FEA">
        <w:rPr>
          <w:rFonts w:cs="Arial"/>
          <w:lang w:val="en"/>
        </w:rPr>
        <w:t xml:space="preserve">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 xml:space="preserve">Provides specific feedback to inform </w:t>
                      </w:r>
                      <w:proofErr w:type="gramStart"/>
                      <w:r w:rsidRPr="00D87777">
                        <w:rPr>
                          <w:rFonts w:ascii="Arial" w:hAnsi="Arial" w:cs="Arial"/>
                          <w:color w:val="F2F2F2" w:themeColor="background1" w:themeShade="F2"/>
                          <w:szCs w:val="24"/>
                        </w:rPr>
                        <w:t>assessment</w:t>
                      </w:r>
                      <w:proofErr w:type="gramEnd"/>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 xml:space="preserve">Includes comment on progress and </w:t>
                      </w:r>
                      <w:proofErr w:type="gramStart"/>
                      <w:r w:rsidRPr="00D87777">
                        <w:rPr>
                          <w:rFonts w:ascii="Arial" w:hAnsi="Arial" w:cs="Arial"/>
                          <w:color w:val="F2F2F2" w:themeColor="background1" w:themeShade="F2"/>
                          <w:szCs w:val="24"/>
                        </w:rPr>
                        <w:t>concerns</w:t>
                      </w:r>
                      <w:proofErr w:type="gramEnd"/>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1A563793" w:rsidR="00D242EB" w:rsidRPr="00DA162A" w:rsidRDefault="004D17ED" w:rsidP="00D242EB">
      <w:pPr>
        <w:jc w:val="center"/>
        <w:rPr>
          <w:rFonts w:cs="Arial"/>
          <w:b/>
          <w:sz w:val="28"/>
          <w:szCs w:val="28"/>
        </w:rPr>
      </w:pPr>
      <w:r>
        <w:rPr>
          <w:rFonts w:cs="Arial"/>
          <w:b/>
          <w:sz w:val="28"/>
          <w:szCs w:val="28"/>
        </w:rPr>
        <w:lastRenderedPageBreak/>
        <w:t>MASTER OF TEACHING</w:t>
      </w:r>
      <w:r w:rsidR="00D242EB">
        <w:rPr>
          <w:rFonts w:cs="Arial"/>
          <w:b/>
          <w:sz w:val="28"/>
          <w:szCs w:val="28"/>
        </w:rPr>
        <w:t xml:space="preserve"> (Secondary) PPA</w:t>
      </w:r>
      <w:r>
        <w:rPr>
          <w:rFonts w:cs="Arial"/>
          <w:b/>
          <w:sz w:val="28"/>
          <w:szCs w:val="28"/>
        </w:rPr>
        <w:t>6460</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77777777" w:rsidR="00D242EB" w:rsidRPr="00580608" w:rsidRDefault="00D242EB" w:rsidP="00D242EB">
      <w:pPr>
        <w:rPr>
          <w:rFonts w:cs="Arial"/>
        </w:rPr>
      </w:pPr>
      <w:r w:rsidRPr="00580608">
        <w:rPr>
          <w:rFonts w:cs="Arial"/>
        </w:rPr>
        <w:t>Pre-service Teache</w:t>
      </w:r>
      <w:r>
        <w:rPr>
          <w:rFonts w:cs="Arial"/>
        </w:rPr>
        <w:t xml:space="preserve">r:  </w:t>
      </w:r>
      <w:r>
        <w:rPr>
          <w:rFonts w:cs="Arial"/>
        </w:rPr>
        <w:fldChar w:fldCharType="begin">
          <w:ffData>
            <w:name w:val="Text1"/>
            <w:enabled/>
            <w:calcOnExit w:val="0"/>
            <w:textInput>
              <w:maxLength w:val="10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Pr>
          <w:rFonts w:cs="Arial"/>
        </w:rPr>
        <w:tab/>
      </w:r>
      <w:r w:rsidRPr="00580608">
        <w:rPr>
          <w:rFonts w:cs="Arial"/>
        </w:rPr>
        <w:t>Year level:</w:t>
      </w:r>
      <w:r>
        <w:rPr>
          <w:rFonts w:cs="Arial"/>
        </w:rPr>
        <w:t xml:space="preserve"> </w:t>
      </w:r>
      <w:r>
        <w:rPr>
          <w:rFonts w:cs="Arial"/>
        </w:rPr>
        <w:fldChar w:fldCharType="begin">
          <w:ffData>
            <w:name w:val="Text2"/>
            <w:enabled/>
            <w:calcOnExit w:val="0"/>
            <w:textInput>
              <w:maxLength w:val="3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2A3BCA">
              <w:rPr>
                <w:rFonts w:cs="Arial"/>
                <w:szCs w:val="22"/>
              </w:rPr>
            </w:r>
            <w:r w:rsidR="002A3BC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sidR="002A3BCA">
              <w:rPr>
                <w:rFonts w:cs="Arial"/>
                <w:szCs w:val="22"/>
              </w:rPr>
            </w:r>
            <w:r w:rsidR="002A3BCA">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ECB1" w14:textId="77777777" w:rsidR="002A3BCA" w:rsidRDefault="002A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4AE6" w14:textId="77777777" w:rsidR="002A3BCA" w:rsidRDefault="002A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F646" w14:textId="77777777" w:rsidR="00E31DF2" w:rsidRDefault="006A2C10">
    <w:pPr>
      <w:pStyle w:val="Footer"/>
    </w:pPr>
    <w:r>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AAF0" id="_x0000_t202" coordsize="21600,21600" o:spt="202" path="m,l,21600r21600,l21600,xe">
              <v:stroke joinstyle="miter"/>
              <v:path gradientshapeok="t" o:connecttype="rect"/>
            </v:shapetype>
            <v:shape id="Text Box 4" o:spid="_x0000_s1030"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DB57" w14:textId="77777777" w:rsidR="002A3BCA" w:rsidRDefault="002A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EFD" w14:textId="431F1AA7" w:rsidR="00E31DF2" w:rsidRPr="002A3BCA" w:rsidRDefault="002A3BCA" w:rsidP="002A3BCA">
    <w:pPr>
      <w:pStyle w:val="Header"/>
    </w:pPr>
    <w:r>
      <w:rPr>
        <w:noProof/>
      </w:rPr>
      <w:drawing>
        <wp:anchor distT="0" distB="0" distL="114300" distR="114300" simplePos="0" relativeHeight="251661312" behindDoc="0" locked="0" layoutInCell="1" allowOverlap="1" wp14:anchorId="5057D207" wp14:editId="542149DB">
          <wp:simplePos x="0" y="0"/>
          <wp:positionH relativeFrom="column">
            <wp:posOffset>5733415</wp:posOffset>
          </wp:positionH>
          <wp:positionV relativeFrom="paragraph">
            <wp:posOffset>85725</wp:posOffset>
          </wp:positionV>
          <wp:extent cx="1111885" cy="791210"/>
          <wp:effectExtent l="0" t="0" r="0" b="8890"/>
          <wp:wrapTopAndBottom/>
          <wp:docPr id="1028" name="Picture 2">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1C1B454E" wp14:editId="5D3E86A5">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5366" w14:textId="77777777" w:rsidR="002A3BCA" w:rsidRPr="001C1EDC" w:rsidRDefault="002A3BCA" w:rsidP="002A3BCA">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454E"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754D5366" w14:textId="77777777" w:rsidR="002A3BCA" w:rsidRPr="001C1EDC" w:rsidRDefault="002A3BCA" w:rsidP="002A3BCA">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C04274" wp14:editId="64C2462A">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285634C" w14:textId="77777777" w:rsidR="002A3BCA" w:rsidRPr="00653D6F" w:rsidRDefault="002A3BCA" w:rsidP="002A3BCA">
                          <w:pPr>
                            <w:rPr>
                              <w:rFonts w:cs="Arial"/>
                              <w:b/>
                              <w:color w:val="FFFFFF"/>
                              <w:sz w:val="24"/>
                            </w:rPr>
                          </w:pPr>
                          <w:r w:rsidRPr="00653D6F">
                            <w:rPr>
                              <w:rFonts w:cs="Arial"/>
                              <w:b/>
                              <w:color w:val="FFFFFF"/>
                              <w:sz w:val="24"/>
                            </w:rPr>
                            <w:t>Edith Cowan University</w:t>
                          </w:r>
                        </w:p>
                        <w:p w14:paraId="423F1C2C" w14:textId="77777777" w:rsidR="002A3BCA" w:rsidRPr="00653D6F" w:rsidRDefault="002A3BCA" w:rsidP="002A3BCA">
                          <w:pPr>
                            <w:rPr>
                              <w:rFonts w:cs="Arial"/>
                              <w:color w:val="FFFFFF"/>
                              <w:szCs w:val="22"/>
                            </w:rPr>
                          </w:pPr>
                          <w:r>
                            <w:rPr>
                              <w:rFonts w:cs="Arial"/>
                              <w:color w:val="FFFFFF"/>
                              <w:szCs w:val="22"/>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4274" id="Text Box 14" o:spid="_x0000_s1028" type="#_x0000_t202" style="position:absolute;margin-left:35.45pt;margin-top:35.45pt;width:3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3285634C" w14:textId="77777777" w:rsidR="002A3BCA" w:rsidRPr="00653D6F" w:rsidRDefault="002A3BCA" w:rsidP="002A3BCA">
                    <w:pPr>
                      <w:rPr>
                        <w:rFonts w:cs="Arial"/>
                        <w:b/>
                        <w:color w:val="FFFFFF"/>
                        <w:sz w:val="24"/>
                      </w:rPr>
                    </w:pPr>
                    <w:r w:rsidRPr="00653D6F">
                      <w:rPr>
                        <w:rFonts w:cs="Arial"/>
                        <w:b/>
                        <w:color w:val="FFFFFF"/>
                        <w:sz w:val="24"/>
                      </w:rPr>
                      <w:t>Edith Cowan University</w:t>
                    </w:r>
                  </w:p>
                  <w:p w14:paraId="423F1C2C" w14:textId="77777777" w:rsidR="002A3BCA" w:rsidRPr="00653D6F" w:rsidRDefault="002A3BCA" w:rsidP="002A3BCA">
                    <w:pPr>
                      <w:rPr>
                        <w:rFonts w:cs="Arial"/>
                        <w:color w:val="FFFFFF"/>
                        <w:szCs w:val="22"/>
                      </w:rPr>
                    </w:pPr>
                    <w:r>
                      <w:rPr>
                        <w:rFonts w:cs="Arial"/>
                        <w:color w:val="FFFFFF"/>
                        <w:szCs w:val="22"/>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C0A93ED" wp14:editId="0CD99656">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6350">
                            <a:solidFill>
                              <a:srgbClr val="BFBFBF"/>
                            </a:solidFill>
                            <a:miter lim="800000"/>
                            <a:headEnd/>
                            <a:tailEnd/>
                          </a14:hiddenLine>
                        </a:ext>
                      </a:extLst>
                    </wps:spPr>
                    <wps:txbx>
                      <w:txbxContent>
                        <w:p w14:paraId="0A289B5B" w14:textId="77777777" w:rsidR="002A3BCA" w:rsidRPr="00653D6F" w:rsidRDefault="002A3BCA" w:rsidP="002A3BC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2"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52DC9D97" w14:textId="77777777" w:rsidR="002A3BCA" w:rsidRPr="0023006A" w:rsidRDefault="002A3BCA" w:rsidP="002A3BCA">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A93ED" id="Text Box 7" o:spid="_x0000_s1029" type="#_x0000_t202" style="position:absolute;margin-left:21.25pt;margin-top:792.4pt;width:552.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0A289B5B" w14:textId="77777777" w:rsidR="002A3BCA" w:rsidRPr="00653D6F" w:rsidRDefault="002A3BCA" w:rsidP="002A3BC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3"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52DC9D97" w14:textId="77777777" w:rsidR="002A3BCA" w:rsidRPr="0023006A" w:rsidRDefault="002A3BCA" w:rsidP="002A3BCA">
                    <w:pPr>
                      <w:jc w:val="center"/>
                      <w:rPr>
                        <w:color w:val="FFFFFF"/>
                      </w:rPr>
                    </w:pPr>
                  </w:p>
                </w:txbxContent>
              </v:textbox>
              <w10:wrap type="tight"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39EA" w14:textId="77777777" w:rsidR="002A3BCA" w:rsidRDefault="002A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65">
    <w:abstractNumId w:val="6"/>
  </w:num>
  <w:num w:numId="2" w16cid:durableId="1657957387">
    <w:abstractNumId w:val="0"/>
  </w:num>
  <w:num w:numId="3" w16cid:durableId="1189686676">
    <w:abstractNumId w:val="14"/>
  </w:num>
  <w:num w:numId="4" w16cid:durableId="1784104776">
    <w:abstractNumId w:val="20"/>
  </w:num>
  <w:num w:numId="5" w16cid:durableId="733236476">
    <w:abstractNumId w:val="16"/>
  </w:num>
  <w:num w:numId="6" w16cid:durableId="765733758">
    <w:abstractNumId w:val="17"/>
  </w:num>
  <w:num w:numId="7" w16cid:durableId="624045450">
    <w:abstractNumId w:val="13"/>
  </w:num>
  <w:num w:numId="8" w16cid:durableId="1478574246">
    <w:abstractNumId w:val="1"/>
  </w:num>
  <w:num w:numId="9" w16cid:durableId="192036933">
    <w:abstractNumId w:val="8"/>
  </w:num>
  <w:num w:numId="10" w16cid:durableId="1652251831">
    <w:abstractNumId w:val="4"/>
  </w:num>
  <w:num w:numId="11" w16cid:durableId="1885865900">
    <w:abstractNumId w:val="10"/>
  </w:num>
  <w:num w:numId="12" w16cid:durableId="1328480565">
    <w:abstractNumId w:val="9"/>
  </w:num>
  <w:num w:numId="13" w16cid:durableId="1045569975">
    <w:abstractNumId w:val="18"/>
  </w:num>
  <w:num w:numId="14" w16cid:durableId="381835090">
    <w:abstractNumId w:val="19"/>
  </w:num>
  <w:num w:numId="15" w16cid:durableId="862519767">
    <w:abstractNumId w:val="2"/>
  </w:num>
  <w:num w:numId="16" w16cid:durableId="1674650134">
    <w:abstractNumId w:val="5"/>
  </w:num>
  <w:num w:numId="17" w16cid:durableId="1859002902">
    <w:abstractNumId w:val="3"/>
  </w:num>
  <w:num w:numId="18" w16cid:durableId="460077381">
    <w:abstractNumId w:val="21"/>
  </w:num>
  <w:num w:numId="19" w16cid:durableId="814682513">
    <w:abstractNumId w:val="12"/>
  </w:num>
  <w:num w:numId="20" w16cid:durableId="1554584752">
    <w:abstractNumId w:val="15"/>
  </w:num>
  <w:num w:numId="21" w16cid:durableId="399401570">
    <w:abstractNumId w:val="11"/>
  </w:num>
  <w:num w:numId="22" w16cid:durableId="134193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2289"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D11AA"/>
    <w:rsid w:val="0010781D"/>
    <w:rsid w:val="00137020"/>
    <w:rsid w:val="002A3BCA"/>
    <w:rsid w:val="003378D4"/>
    <w:rsid w:val="003B517C"/>
    <w:rsid w:val="00410843"/>
    <w:rsid w:val="0046328F"/>
    <w:rsid w:val="00485F51"/>
    <w:rsid w:val="004C392A"/>
    <w:rsid w:val="004D17ED"/>
    <w:rsid w:val="004D5530"/>
    <w:rsid w:val="004F7354"/>
    <w:rsid w:val="00535925"/>
    <w:rsid w:val="00582E96"/>
    <w:rsid w:val="00612DDC"/>
    <w:rsid w:val="00653D6F"/>
    <w:rsid w:val="00670488"/>
    <w:rsid w:val="00687795"/>
    <w:rsid w:val="00691C67"/>
    <w:rsid w:val="006A2C10"/>
    <w:rsid w:val="006B1961"/>
    <w:rsid w:val="006D1695"/>
    <w:rsid w:val="00713A42"/>
    <w:rsid w:val="00766142"/>
    <w:rsid w:val="0077133D"/>
    <w:rsid w:val="00833525"/>
    <w:rsid w:val="008A7A46"/>
    <w:rsid w:val="00904A65"/>
    <w:rsid w:val="009A5B49"/>
    <w:rsid w:val="009B039A"/>
    <w:rsid w:val="009D70C3"/>
    <w:rsid w:val="00AC25E0"/>
    <w:rsid w:val="00AE2014"/>
    <w:rsid w:val="00B555CA"/>
    <w:rsid w:val="00BB2EAD"/>
    <w:rsid w:val="00BD3B36"/>
    <w:rsid w:val="00D242EB"/>
    <w:rsid w:val="00D32AB8"/>
    <w:rsid w:val="00DB59A8"/>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CB5A15314C046B1F1417E3C08172D" ma:contentTypeVersion="19" ma:contentTypeDescription="Create a new document." ma:contentTypeScope="" ma:versionID="9d5c3cc9eacd9709689e10ee42fa345f">
  <xsd:schema xmlns:xsd="http://www.w3.org/2001/XMLSchema" xmlns:xs="http://www.w3.org/2001/XMLSchema" xmlns:p="http://schemas.microsoft.com/office/2006/metadata/properties" xmlns:ns2="1a9831d3-699a-47ec-98ff-240917cabb7a" xmlns:ns3="154f65c2-b49f-492d-8f8a-b48119e114dd" targetNamespace="http://schemas.microsoft.com/office/2006/metadata/properties" ma:root="true" ma:fieldsID="28e51c84c6de9595fe9bff9eb5c6d19d" ns2:_="" ns3:_="">
    <xsd:import namespace="1a9831d3-699a-47ec-98ff-240917cabb7a"/>
    <xsd:import namespace="154f65c2-b49f-492d-8f8a-b48119e11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831d3-699a-47ec-98ff-240917cab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f65c2-b49f-492d-8f8a-b48119e11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3fa88c-0f22-4555-b56b-48fd09ee03b7}" ma:internalName="TaxCatchAll" ma:showField="CatchAllData" ma:web="154f65c2-b49f-492d-8f8a-b48119e11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4f65c2-b49f-492d-8f8a-b48119e114dd" xsi:nil="true"/>
    <lcf76f155ced4ddcb4097134ff3c332f xmlns="1a9831d3-699a-47ec-98ff-240917cab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81619-20B5-49C0-B873-2662A1D70906}"/>
</file>

<file path=customXml/itemProps2.xml><?xml version="1.0" encoding="utf-8"?>
<ds:datastoreItem xmlns:ds="http://schemas.openxmlformats.org/officeDocument/2006/customXml" ds:itemID="{BEE4D116-3656-42E9-A4C9-E61D97C8ECC2}"/>
</file>

<file path=customXml/itemProps3.xml><?xml version="1.0" encoding="utf-8"?>
<ds:datastoreItem xmlns:ds="http://schemas.openxmlformats.org/officeDocument/2006/customXml" ds:itemID="{98E2FA73-3102-4CA2-BD14-AC9B948BD603}"/>
</file>

<file path=docProps/app.xml><?xml version="1.0" encoding="utf-8"?>
<Properties xmlns="http://schemas.openxmlformats.org/officeDocument/2006/extended-properties" xmlns:vt="http://schemas.openxmlformats.org/officeDocument/2006/docPropsVTypes">
  <Template>Normal</Template>
  <TotalTime>4</TotalTime>
  <Pages>4</Pages>
  <Words>937</Words>
  <Characters>7575</Characters>
  <Application>Microsoft Office Word</Application>
  <DocSecurity>0</DocSecurity>
  <Lines>360</Lines>
  <Paragraphs>115</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8397</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Education</dc:creator>
  <cp:keywords>school of education, sed, ecu, edith cowan university</cp:keywords>
  <dc:description/>
  <cp:lastModifiedBy>Susie GIZZARELLI</cp:lastModifiedBy>
  <cp:revision>7</cp:revision>
  <cp:lastPrinted>2009-08-27T07:27:00Z</cp:lastPrinted>
  <dcterms:created xsi:type="dcterms:W3CDTF">2022-06-13T05:08:00Z</dcterms:created>
  <dcterms:modified xsi:type="dcterms:W3CDTF">2025-05-14T05:54:00Z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0x010100CB5CB5A15314C046B1F1417E3C08172D</vt:lpwstr>
  </property>
</Properties>
</file>